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B578" w14:textId="79BD90A6" w:rsidR="00647699" w:rsidRDefault="00691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47699">
        <w:rPr>
          <w:rFonts w:ascii="Arial" w:hAnsi="Arial" w:cs="Arial"/>
          <w:b/>
          <w:bCs/>
        </w:rPr>
        <w:t xml:space="preserve">-Day – </w:t>
      </w:r>
    </w:p>
    <w:p w14:paraId="2B017671" w14:textId="11E6AA5B" w:rsidR="00647699" w:rsidRDefault="00691606">
      <w:pPr>
        <w:pStyle w:val="Heading1"/>
        <w:spacing w:after="120"/>
      </w:pPr>
      <w:r>
        <w:t xml:space="preserve">Introduction to </w:t>
      </w:r>
      <w:r w:rsidR="00647699">
        <w:t xml:space="preserve">Supply Chain </w:t>
      </w:r>
      <w:r w:rsidR="000B50D2">
        <w:t>Improvement</w:t>
      </w:r>
    </w:p>
    <w:tbl>
      <w:tblPr>
        <w:tblW w:w="961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867"/>
      </w:tblGrid>
      <w:tr w:rsidR="00647699" w14:paraId="7BDC1654" w14:textId="77777777" w:rsidTr="009362F9">
        <w:trPr>
          <w:trHeight w:val="12057"/>
        </w:trPr>
        <w:tc>
          <w:tcPr>
            <w:tcW w:w="4751" w:type="dxa"/>
            <w:tcBorders>
              <w:bottom w:val="nil"/>
            </w:tcBorders>
          </w:tcPr>
          <w:p w14:paraId="72298937" w14:textId="77777777" w:rsidR="00647699" w:rsidRDefault="00647699">
            <w:pPr>
              <w:tabs>
                <w:tab w:val="right" w:pos="4140"/>
              </w:tabs>
              <w:spacing w:before="240" w:after="240"/>
              <w:ind w:right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14:paraId="3F454D80" w14:textId="78ED7BE9" w:rsidR="000B50D2" w:rsidRDefault="009D5B28">
            <w:pPr>
              <w:pStyle w:val="BodyText"/>
              <w:spacing w:after="120"/>
              <w:ind w:right="342"/>
            </w:pPr>
            <w:r>
              <w:t>A brief introduction to supply chain management and improvement.   While the concept of “supply chain management” is commonly used, often co</w:t>
            </w:r>
            <w:r w:rsidR="00E40CD3">
              <w:t xml:space="preserve">mpanies struggle with how to </w:t>
            </w:r>
            <w:r>
              <w:t>improve the cost, speed, quality and service their supply chains provide.  This course provides an overview of potential benefits, leading examples, applicable tactics, and a methodology to plan the improvements and capture the benefits.  It also identifies the role of industrial engineers and improvement analysts.</w:t>
            </w:r>
          </w:p>
          <w:p w14:paraId="60BAF87F" w14:textId="77777777" w:rsidR="00647699" w:rsidRDefault="00647699">
            <w:pPr>
              <w:pStyle w:val="Heading7"/>
              <w:spacing w:after="0"/>
              <w:ind w:right="259"/>
            </w:pPr>
            <w:r>
              <w:t>Objectives</w:t>
            </w:r>
          </w:p>
          <w:p w14:paraId="7FDC0789" w14:textId="798C86AB" w:rsidR="00647699" w:rsidRDefault="00647699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To improve cost, cycle time, and service with better </w:t>
            </w:r>
            <w:r w:rsidR="006D1516">
              <w:t>supply chain processes.</w:t>
            </w:r>
          </w:p>
          <w:p w14:paraId="7C684272" w14:textId="77A949A0" w:rsidR="00647699" w:rsidRDefault="00647699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To strengthen customer and supplier relationshi</w:t>
            </w:r>
            <w:r w:rsidR="006D1516">
              <w:t>ps with integrated processes.</w:t>
            </w:r>
          </w:p>
          <w:p w14:paraId="3A4EBA8C" w14:textId="56829894" w:rsidR="00666E62" w:rsidRDefault="00666E62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Learn the basics of improving the main Supply Chain areas: Selling, Distributing, Producing, Sourcing and Planning.</w:t>
            </w:r>
          </w:p>
          <w:p w14:paraId="5C5B6C18" w14:textId="1A5C2D63" w:rsidR="00666E62" w:rsidRDefault="00666E62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Understand the impact of improvements in Processes, Information Systems, Organizations, Facilities and Performance Measurement.</w:t>
            </w:r>
          </w:p>
          <w:p w14:paraId="46CA020E" w14:textId="77777777" w:rsidR="00647699" w:rsidRDefault="00647699" w:rsidP="00AF7524">
            <w:pPr>
              <w:pStyle w:val="Heading4"/>
              <w:tabs>
                <w:tab w:val="right" w:pos="4140"/>
              </w:tabs>
              <w:spacing w:before="240" w:after="60"/>
              <w:ind w:right="259"/>
            </w:pPr>
            <w:r>
              <w:t>Who Will Benefit</w:t>
            </w:r>
          </w:p>
          <w:p w14:paraId="13E4EF8F" w14:textId="035B7BEF" w:rsidR="00FC33D3" w:rsidRDefault="00FC33D3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Leaders of improvement </w:t>
            </w:r>
            <w:r w:rsidR="00647699">
              <w:t xml:space="preserve">projects in </w:t>
            </w:r>
            <w:r>
              <w:t>purchasing, production and logistics</w:t>
            </w:r>
            <w:r w:rsidR="00647699">
              <w:t>.</w:t>
            </w:r>
          </w:p>
          <w:p w14:paraId="5D215775" w14:textId="5556BC29" w:rsidR="00647699" w:rsidRDefault="00FC33D3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Executives and managers of </w:t>
            </w:r>
            <w:r w:rsidR="00647699">
              <w:t>the supply chain.</w:t>
            </w:r>
          </w:p>
          <w:p w14:paraId="7FAD85FA" w14:textId="3284536D" w:rsidR="00666E62" w:rsidRDefault="00666E62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 w:rsidRPr="00666E62">
              <w:t>Sponsors and leaders of supply chain operational improvement projects</w:t>
            </w:r>
          </w:p>
          <w:p w14:paraId="2133FB4F" w14:textId="1870120E" w:rsidR="00647699" w:rsidRDefault="00666E62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Leaders of </w:t>
            </w:r>
            <w:r w:rsidR="00FC33D3">
              <w:t>Lea</w:t>
            </w:r>
            <w:r>
              <w:t xml:space="preserve">n, Six Sigma and </w:t>
            </w:r>
            <w:r w:rsidR="00FC33D3">
              <w:t>Operational Excellence programs</w:t>
            </w:r>
            <w:r w:rsidR="00647699">
              <w:t>.</w:t>
            </w:r>
          </w:p>
          <w:p w14:paraId="623CD2F3" w14:textId="77777777" w:rsidR="00647699" w:rsidRDefault="00647699">
            <w:pPr>
              <w:pStyle w:val="Heading7"/>
            </w:pPr>
            <w:r>
              <w:t>Timing</w:t>
            </w:r>
          </w:p>
          <w:p w14:paraId="52759888" w14:textId="39A5BA0F" w:rsidR="00647699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Duration:</w:t>
            </w:r>
            <w:r>
              <w:tab/>
              <w:t>1 day</w:t>
            </w:r>
          </w:p>
          <w:p w14:paraId="25DF98A2" w14:textId="77777777" w:rsidR="00666E62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</w:p>
          <w:p w14:paraId="5CAAC73B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Start:</w:t>
            </w:r>
            <w:r>
              <w:tab/>
              <w:t>8:00</w:t>
            </w:r>
          </w:p>
          <w:p w14:paraId="1EA9FE5F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AM Break:</w:t>
            </w:r>
            <w:r>
              <w:tab/>
              <w:t>10:30</w:t>
            </w:r>
          </w:p>
          <w:p w14:paraId="7A90577A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Lunch:</w:t>
            </w:r>
            <w:r>
              <w:tab/>
              <w:t>12:00 – 1:00</w:t>
            </w:r>
          </w:p>
          <w:p w14:paraId="0E78E2C7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PM Breaks:</w:t>
            </w:r>
            <w:r>
              <w:tab/>
              <w:t>2:15 &amp; 3:45</w:t>
            </w:r>
          </w:p>
          <w:p w14:paraId="02F5DC0E" w14:textId="6464B127" w:rsidR="00647699" w:rsidRPr="00414CF6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Adjourn</w:t>
            </w:r>
            <w:r w:rsidR="00647699">
              <w:t>:</w:t>
            </w:r>
            <w:r w:rsidR="00647699">
              <w:tab/>
              <w:t>5:00</w:t>
            </w:r>
          </w:p>
        </w:tc>
        <w:tc>
          <w:tcPr>
            <w:tcW w:w="4867" w:type="dxa"/>
            <w:tcBorders>
              <w:bottom w:val="nil"/>
            </w:tcBorders>
          </w:tcPr>
          <w:p w14:paraId="2D07A515" w14:textId="77777777" w:rsidR="00647699" w:rsidRDefault="00647699">
            <w:pPr>
              <w:pStyle w:val="Heading6"/>
              <w:ind w:left="162"/>
            </w:pPr>
            <w:r>
              <w:t>Course Outline</w:t>
            </w:r>
          </w:p>
          <w:p w14:paraId="1B568189" w14:textId="77777777" w:rsidR="000B5819" w:rsidRPr="0046387C" w:rsidRDefault="000B5819" w:rsidP="000B5819">
            <w:pPr>
              <w:pStyle w:val="Heading1"/>
              <w:numPr>
                <w:ilvl w:val="0"/>
                <w:numId w:val="12"/>
              </w:numPr>
              <w:rPr>
                <w:caps/>
                <w:sz w:val="18"/>
                <w:szCs w:val="18"/>
              </w:rPr>
            </w:pPr>
            <w:r w:rsidRPr="0046387C">
              <w:rPr>
                <w:caps/>
                <w:sz w:val="18"/>
                <w:szCs w:val="18"/>
              </w:rPr>
              <w:t>Welcome &amp; Introduction</w:t>
            </w:r>
          </w:p>
          <w:p w14:paraId="60B42DBF" w14:textId="77777777" w:rsidR="000B5819" w:rsidRP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0B5819">
              <w:t>Terms and definitions</w:t>
            </w:r>
          </w:p>
          <w:p w14:paraId="7B4BF570" w14:textId="77777777" w:rsidR="000B5819" w:rsidRP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0B5819">
              <w:t>Benefits of supply chain improvement</w:t>
            </w:r>
          </w:p>
          <w:p w14:paraId="2C13CFF6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0B5819">
              <w:t>Best practices and leading examples</w:t>
            </w:r>
          </w:p>
          <w:p w14:paraId="0F1DD707" w14:textId="77777777" w:rsidR="000B5819" w:rsidRDefault="000B5819" w:rsidP="000B5819">
            <w:pPr>
              <w:rPr>
                <w:rFonts w:ascii="Arial" w:hAnsi="Arial"/>
                <w:sz w:val="20"/>
              </w:rPr>
            </w:pPr>
          </w:p>
          <w:p w14:paraId="06CEE609" w14:textId="77777777" w:rsidR="000B5819" w:rsidRPr="0046387C" w:rsidRDefault="000B5819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sz w:val="18"/>
                <w:szCs w:val="18"/>
              </w:rPr>
            </w:pPr>
            <w:r w:rsidRPr="0046387C">
              <w:rPr>
                <w:caps/>
                <w:sz w:val="18"/>
                <w:szCs w:val="18"/>
              </w:rPr>
              <w:t>Supply Chain Improvement Tactics</w:t>
            </w:r>
          </w:p>
          <w:p w14:paraId="4A5BAD7A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Focus on goals, markets, customers and products</w:t>
            </w:r>
          </w:p>
          <w:p w14:paraId="3A1B02BA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Forecasting and order management</w:t>
            </w:r>
          </w:p>
          <w:p w14:paraId="39447881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Planning and scheduling</w:t>
            </w:r>
          </w:p>
          <w:p w14:paraId="12CFCC06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Procurement and inventory management</w:t>
            </w:r>
          </w:p>
          <w:p w14:paraId="48D2CFE1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Inbound logistics</w:t>
            </w:r>
          </w:p>
          <w:p w14:paraId="5A7DD270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Production</w:t>
            </w:r>
          </w:p>
          <w:p w14:paraId="27FEFB84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Distribution, delivery and merchandising</w:t>
            </w:r>
          </w:p>
          <w:p w14:paraId="7C03AED9" w14:textId="3A8458E6" w:rsidR="000B5819" w:rsidRDefault="00831E7A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Product/packaging design </w:t>
            </w:r>
            <w:r w:rsidR="000B5819">
              <w:t xml:space="preserve"> </w:t>
            </w:r>
          </w:p>
          <w:p w14:paraId="02A8DB96" w14:textId="77777777" w:rsidR="000B5819" w:rsidRDefault="000B5819" w:rsidP="000B5819">
            <w:pPr>
              <w:rPr>
                <w:rFonts w:ascii="Arial" w:hAnsi="Arial"/>
                <w:sz w:val="20"/>
              </w:rPr>
            </w:pPr>
          </w:p>
          <w:p w14:paraId="22FCC12A" w14:textId="1B2A00AF" w:rsidR="000B5819" w:rsidRDefault="0046387C" w:rsidP="000B5819">
            <w:pPr>
              <w:pStyle w:val="Heading5"/>
              <w:numPr>
                <w:ilvl w:val="0"/>
                <w:numId w:val="12"/>
              </w:numPr>
              <w:ind w:right="0"/>
            </w:pPr>
            <w:r>
              <w:t>SUPPLY CHAIN TYPES, OBJECTIVES AND STRATEGIES</w:t>
            </w:r>
          </w:p>
          <w:p w14:paraId="558B4086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Setting supply chain objectives and strategies to support business goals </w:t>
            </w:r>
          </w:p>
          <w:p w14:paraId="5A374479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Creating a realistic supply chain vision</w:t>
            </w:r>
          </w:p>
          <w:p w14:paraId="154AB019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Basis of competition: product leadership, customer intimacy or operational effectiveness</w:t>
            </w:r>
          </w:p>
          <w:p w14:paraId="6D527643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Vertical or virtual: Capital or information intensive</w:t>
            </w:r>
          </w:p>
          <w:p w14:paraId="290F2598" w14:textId="77777777" w:rsidR="000B5819" w:rsidRDefault="000B5819" w:rsidP="000B5819">
            <w:pPr>
              <w:tabs>
                <w:tab w:val="left" w:pos="720"/>
                <w:tab w:val="left" w:pos="1080"/>
                <w:tab w:val="left" w:pos="4320"/>
              </w:tabs>
              <w:rPr>
                <w:rFonts w:ascii="Arial" w:hAnsi="Arial"/>
                <w:b/>
                <w:caps/>
                <w:sz w:val="20"/>
              </w:rPr>
            </w:pPr>
          </w:p>
          <w:p w14:paraId="4521FA61" w14:textId="77777777" w:rsidR="000B5819" w:rsidRPr="0046387C" w:rsidRDefault="000B5819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sz w:val="18"/>
                <w:szCs w:val="18"/>
              </w:rPr>
            </w:pPr>
            <w:bookmarkStart w:id="0" w:name="OLE_LINK1"/>
            <w:bookmarkStart w:id="1" w:name="OLE_LINK2"/>
            <w:r w:rsidRPr="0046387C">
              <w:rPr>
                <w:caps/>
                <w:sz w:val="18"/>
                <w:szCs w:val="18"/>
              </w:rPr>
              <w:t>The MAXiT</w:t>
            </w:r>
            <w:r w:rsidRPr="0046387C">
              <w:rPr>
                <w:caps/>
                <w:position w:val="6"/>
                <w:sz w:val="18"/>
                <w:szCs w:val="18"/>
              </w:rPr>
              <w:t xml:space="preserve">® </w:t>
            </w:r>
            <w:r w:rsidRPr="0046387C">
              <w:rPr>
                <w:caps/>
                <w:sz w:val="18"/>
                <w:szCs w:val="18"/>
              </w:rPr>
              <w:t>Approach to Supply Chain Improvement</w:t>
            </w:r>
            <w:bookmarkEnd w:id="0"/>
            <w:bookmarkEnd w:id="1"/>
          </w:p>
          <w:p w14:paraId="438F43FD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Common approaches</w:t>
            </w:r>
          </w:p>
          <w:p w14:paraId="6A301833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Why supply chain improvement programs fail</w:t>
            </w:r>
          </w:p>
          <w:p w14:paraId="521D4DD1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Four phases and five dimensions of improvement </w:t>
            </w:r>
          </w:p>
          <w:p w14:paraId="0300CAE8" w14:textId="77777777" w:rsidR="000B5819" w:rsidRDefault="000B5819" w:rsidP="000B5819">
            <w:pPr>
              <w:rPr>
                <w:rFonts w:ascii="Arial" w:hAnsi="Arial"/>
                <w:sz w:val="20"/>
              </w:rPr>
            </w:pPr>
          </w:p>
          <w:p w14:paraId="5074D5EF" w14:textId="77777777" w:rsidR="000B5819" w:rsidRPr="0046387C" w:rsidRDefault="000B5819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sz w:val="18"/>
                <w:szCs w:val="18"/>
              </w:rPr>
            </w:pPr>
            <w:r w:rsidRPr="0046387C">
              <w:rPr>
                <w:caps/>
                <w:sz w:val="18"/>
                <w:szCs w:val="18"/>
              </w:rPr>
              <w:t>Role of the Industrial Engineer or Improvement Analyst</w:t>
            </w:r>
          </w:p>
          <w:p w14:paraId="2D401FBF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Analyze supply chain improvements</w:t>
            </w:r>
          </w:p>
          <w:p w14:paraId="100EBEC7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Design</w:t>
            </w:r>
          </w:p>
          <w:p w14:paraId="20B98A59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Plan and manage</w:t>
            </w:r>
          </w:p>
          <w:p w14:paraId="1FB3EA99" w14:textId="77777777" w:rsidR="000B5819" w:rsidRDefault="000B5819" w:rsidP="000B5819">
            <w:pPr>
              <w:pStyle w:val="Heading4"/>
              <w:rPr>
                <w:i/>
              </w:rPr>
            </w:pPr>
          </w:p>
          <w:p w14:paraId="543BB198" w14:textId="77777777" w:rsidR="000B5819" w:rsidRPr="0046387C" w:rsidRDefault="000B5819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sz w:val="18"/>
                <w:szCs w:val="18"/>
              </w:rPr>
            </w:pPr>
            <w:r w:rsidRPr="0046387C">
              <w:rPr>
                <w:caps/>
                <w:sz w:val="18"/>
                <w:szCs w:val="18"/>
              </w:rPr>
              <w:t>Introduction to Other SUPPLY CHAIN IMPROVEMENT Courses</w:t>
            </w:r>
          </w:p>
          <w:p w14:paraId="1118EF09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Process (and organizational) improvement</w:t>
            </w:r>
          </w:p>
          <w:p w14:paraId="0496E572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Information Systems</w:t>
            </w:r>
          </w:p>
          <w:p w14:paraId="2BECEA3B" w14:textId="77777777" w:rsidR="000B5819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Facility Infrastructure</w:t>
            </w:r>
          </w:p>
          <w:p w14:paraId="08428B06" w14:textId="5FE80DC2" w:rsidR="00647699" w:rsidRDefault="000B5819" w:rsidP="00414CF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Performance Measurement</w:t>
            </w:r>
          </w:p>
        </w:tc>
        <w:bookmarkStart w:id="2" w:name="_GoBack"/>
        <w:bookmarkEnd w:id="2"/>
      </w:tr>
    </w:tbl>
    <w:p w14:paraId="72401F5E" w14:textId="77777777" w:rsidR="00647699" w:rsidRDefault="00647699" w:rsidP="00414CF6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47699">
      <w:footerReference w:type="default" r:id="rId8"/>
      <w:pgSz w:w="12240" w:h="15840" w:code="1"/>
      <w:pgMar w:top="1260" w:right="1440" w:bottom="99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E290" w14:textId="77777777" w:rsidR="009A4404" w:rsidRDefault="009A4404">
      <w:r>
        <w:separator/>
      </w:r>
    </w:p>
  </w:endnote>
  <w:endnote w:type="continuationSeparator" w:id="0">
    <w:p w14:paraId="49837335" w14:textId="77777777" w:rsidR="009A4404" w:rsidRDefault="009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7880D" w14:textId="1CDA5B37" w:rsidR="009A4404" w:rsidRDefault="009A4404">
    <w:pPr>
      <w:pStyle w:val="Footer"/>
      <w:tabs>
        <w:tab w:val="clear" w:pos="4320"/>
        <w:tab w:val="clear" w:pos="8640"/>
        <w:tab w:val="left" w:pos="5940"/>
        <w:tab w:val="right" w:pos="9360"/>
      </w:tabs>
      <w:rPr>
        <w:rFonts w:ascii="Arial" w:hAnsi="Arial"/>
        <w:sz w:val="14"/>
      </w:rPr>
    </w:pPr>
    <w:r>
      <w:rPr>
        <w:rFonts w:ascii="Arial" w:hAnsi="Arial"/>
        <w:sz w:val="14"/>
      </w:rPr>
      <w:t>© Copyright 2014.  HIGH PERFORMANCE CONCEPTS, INC.  Rev. 1405</w:t>
    </w:r>
    <w:r>
      <w:rPr>
        <w:rFonts w:ascii="Arial" w:hAnsi="Arial"/>
        <w:sz w:val="14"/>
      </w:rPr>
      <w:tab/>
      <w:t xml:space="preserve">Page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>
      <w:rPr>
        <w:rStyle w:val="PageNumber"/>
        <w:rFonts w:ascii="Arial" w:hAnsi="Arial"/>
        <w:sz w:val="14"/>
      </w:rPr>
      <w:fldChar w:fldCharType="separate"/>
    </w:r>
    <w:r w:rsidR="00491079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NUMPAGES </w:instrText>
    </w:r>
    <w:r>
      <w:rPr>
        <w:rStyle w:val="PageNumber"/>
        <w:rFonts w:ascii="Arial" w:hAnsi="Arial"/>
        <w:sz w:val="14"/>
      </w:rPr>
      <w:fldChar w:fldCharType="separate"/>
    </w:r>
    <w:r w:rsidR="00491079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b/>
        <w:bCs/>
        <w:sz w:val="16"/>
      </w:rPr>
      <w:t>Course</w:t>
    </w:r>
    <w:r w:rsidR="00E75520">
      <w:rPr>
        <w:rFonts w:ascii="Arial" w:hAnsi="Arial"/>
        <w:b/>
        <w:bCs/>
      </w:rPr>
      <w:t xml:space="preserve"> 1-SC</w:t>
    </w:r>
    <w:r>
      <w:rPr>
        <w:rFonts w:ascii="Arial" w:hAnsi="Arial"/>
        <w:b/>
        <w:bCs/>
      </w:rPr>
      <w:t>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413A" w14:textId="77777777" w:rsidR="009A4404" w:rsidRDefault="009A4404">
      <w:r>
        <w:separator/>
      </w:r>
    </w:p>
  </w:footnote>
  <w:footnote w:type="continuationSeparator" w:id="0">
    <w:p w14:paraId="38A9D59E" w14:textId="77777777" w:rsidR="009A4404" w:rsidRDefault="009A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61C9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F"/>
    <w:multiLevelType w:val="singleLevel"/>
    <w:tmpl w:val="882C6480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2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2C095B"/>
    <w:multiLevelType w:val="hybridMultilevel"/>
    <w:tmpl w:val="5720F8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0289715D"/>
    <w:multiLevelType w:val="hybridMultilevel"/>
    <w:tmpl w:val="B4769E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469E8"/>
    <w:multiLevelType w:val="hybridMultilevel"/>
    <w:tmpl w:val="68B2E7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4B2CF2"/>
    <w:multiLevelType w:val="multilevel"/>
    <w:tmpl w:val="C61C9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44541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33407D6"/>
    <w:multiLevelType w:val="hybridMultilevel"/>
    <w:tmpl w:val="908CF574"/>
    <w:lvl w:ilvl="0" w:tplc="AEE2B08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40866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D93A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658C7E0E"/>
    <w:multiLevelType w:val="hybridMultilevel"/>
    <w:tmpl w:val="69E2A0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418B3"/>
    <w:multiLevelType w:val="hybridMultilevel"/>
    <w:tmpl w:val="431AA83E"/>
    <w:lvl w:ilvl="0" w:tplc="AEE2B08A">
      <w:start w:val="1"/>
      <w:numFmt w:val="bullet"/>
      <w:lvlText w:val=""/>
      <w:lvlJc w:val="left"/>
      <w:pPr>
        <w:tabs>
          <w:tab w:val="num" w:pos="288"/>
        </w:tabs>
        <w:ind w:left="100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7D420DC0"/>
    <w:multiLevelType w:val="hybridMultilevel"/>
    <w:tmpl w:val="908CF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E"/>
    <w:rsid w:val="000B50D2"/>
    <w:rsid w:val="000B5819"/>
    <w:rsid w:val="000E1379"/>
    <w:rsid w:val="001654D2"/>
    <w:rsid w:val="001A211C"/>
    <w:rsid w:val="001D6179"/>
    <w:rsid w:val="00232275"/>
    <w:rsid w:val="002538F4"/>
    <w:rsid w:val="00294936"/>
    <w:rsid w:val="003072B3"/>
    <w:rsid w:val="00414CF6"/>
    <w:rsid w:val="004454CE"/>
    <w:rsid w:val="0046387C"/>
    <w:rsid w:val="00484E98"/>
    <w:rsid w:val="00491079"/>
    <w:rsid w:val="004A4422"/>
    <w:rsid w:val="004B2FD9"/>
    <w:rsid w:val="004E5F88"/>
    <w:rsid w:val="005A6336"/>
    <w:rsid w:val="00615046"/>
    <w:rsid w:val="00647699"/>
    <w:rsid w:val="00666E62"/>
    <w:rsid w:val="00691606"/>
    <w:rsid w:val="006C7252"/>
    <w:rsid w:val="006D1516"/>
    <w:rsid w:val="00754AB7"/>
    <w:rsid w:val="00831E7A"/>
    <w:rsid w:val="00880B0C"/>
    <w:rsid w:val="008F19E9"/>
    <w:rsid w:val="009362F9"/>
    <w:rsid w:val="009635D4"/>
    <w:rsid w:val="00997106"/>
    <w:rsid w:val="009A4404"/>
    <w:rsid w:val="009D5B28"/>
    <w:rsid w:val="00A523BE"/>
    <w:rsid w:val="00A95849"/>
    <w:rsid w:val="00AA05A2"/>
    <w:rsid w:val="00AF630C"/>
    <w:rsid w:val="00AF7524"/>
    <w:rsid w:val="00BF14E4"/>
    <w:rsid w:val="00D55BE6"/>
    <w:rsid w:val="00DA1557"/>
    <w:rsid w:val="00E40CD3"/>
    <w:rsid w:val="00E46D53"/>
    <w:rsid w:val="00E75520"/>
    <w:rsid w:val="00E81556"/>
    <w:rsid w:val="00E83EC2"/>
    <w:rsid w:val="00F10E02"/>
    <w:rsid w:val="00FB107C"/>
    <w:rsid w:val="00FC33D3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A01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1-Day</vt:lpstr>
    </vt:vector>
  </TitlesOfParts>
  <Company>High Performance Concepts, Inc.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1-Day</dc:title>
  <dc:subject/>
  <dc:creator>Lee Hales</dc:creator>
  <cp:keywords/>
  <dc:description/>
  <cp:lastModifiedBy>Brian  Savoie</cp:lastModifiedBy>
  <cp:revision>12</cp:revision>
  <cp:lastPrinted>2014-05-13T20:43:00Z</cp:lastPrinted>
  <dcterms:created xsi:type="dcterms:W3CDTF">2014-05-08T21:58:00Z</dcterms:created>
  <dcterms:modified xsi:type="dcterms:W3CDTF">2014-05-13T20:47:00Z</dcterms:modified>
</cp:coreProperties>
</file>